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9F" w:rsidRPr="00951D9F" w:rsidRDefault="00951D9F" w:rsidP="00625B92">
      <w:pPr>
        <w:pStyle w:val="NormalWeb"/>
        <w:spacing w:before="0" w:beforeAutospacing="0" w:after="0" w:afterAutospacing="0" w:line="252" w:lineRule="auto"/>
        <w:contextualSpacing/>
        <w:rPr>
          <w:rFonts w:asciiTheme="minorHAnsi" w:hAnsiTheme="minorHAnsi"/>
          <w:b/>
          <w:bCs/>
          <w:sz w:val="28"/>
          <w:szCs w:val="28"/>
        </w:rPr>
      </w:pPr>
      <w:r w:rsidRPr="00951D9F">
        <w:rPr>
          <w:rFonts w:asciiTheme="minorHAnsi" w:hAnsiTheme="minorHAnsi"/>
          <w:b/>
          <w:bCs/>
          <w:sz w:val="28"/>
          <w:szCs w:val="28"/>
        </w:rPr>
        <w:t>Part One: Summary of Current Status</w:t>
      </w:r>
    </w:p>
    <w:p w:rsidR="00107301" w:rsidRPr="00AB51C4" w:rsidRDefault="00107301" w:rsidP="00625B92">
      <w:pPr>
        <w:pStyle w:val="NormalWeb"/>
        <w:spacing w:before="0" w:beforeAutospacing="0" w:after="0" w:afterAutospacing="0" w:line="252" w:lineRule="auto"/>
        <w:contextualSpacing/>
        <w:rPr>
          <w:rFonts w:asciiTheme="minorHAnsi" w:hAnsiTheme="minorHAnsi"/>
          <w:b/>
          <w:bCs/>
          <w:sz w:val="20"/>
          <w:szCs w:val="28"/>
        </w:rPr>
      </w:pPr>
    </w:p>
    <w:p w:rsidR="0049127A" w:rsidRPr="006568A6" w:rsidRDefault="00625B92" w:rsidP="00625B92">
      <w:pPr>
        <w:pStyle w:val="NormalWeb"/>
        <w:spacing w:before="0" w:beforeAutospacing="0" w:after="0" w:afterAutospacing="0" w:line="252" w:lineRule="auto"/>
        <w:contextualSpacing/>
        <w:rPr>
          <w:rFonts w:asciiTheme="minorHAnsi" w:hAnsiTheme="minorHAnsi"/>
          <w:b/>
          <w:bCs/>
          <w:sz w:val="22"/>
          <w:szCs w:val="28"/>
        </w:rPr>
      </w:pPr>
      <w:r>
        <w:rPr>
          <w:rFonts w:asciiTheme="minorHAnsi" w:hAnsiTheme="minorHAnsi"/>
          <w:b/>
          <w:bCs/>
          <w:sz w:val="22"/>
          <w:szCs w:val="28"/>
        </w:rPr>
        <w:t>Part One Directions:</w:t>
      </w:r>
      <w:r>
        <w:rPr>
          <w:rFonts w:asciiTheme="minorHAnsi" w:hAnsiTheme="minorHAnsi"/>
          <w:bCs/>
          <w:sz w:val="22"/>
          <w:szCs w:val="28"/>
        </w:rPr>
        <w:t xml:space="preserve"> Use this section to summarize the status of your progress on your </w:t>
      </w:r>
      <w:r w:rsidR="00A37EB3">
        <w:rPr>
          <w:rFonts w:asciiTheme="minorHAnsi" w:hAnsiTheme="minorHAnsi"/>
          <w:bCs/>
          <w:sz w:val="22"/>
          <w:szCs w:val="28"/>
        </w:rPr>
        <w:t>SIP/</w:t>
      </w:r>
      <w:r>
        <w:rPr>
          <w:rFonts w:asciiTheme="minorHAnsi" w:hAnsiTheme="minorHAnsi"/>
          <w:bCs/>
          <w:sz w:val="22"/>
          <w:szCs w:val="28"/>
        </w:rPr>
        <w:t xml:space="preserve">SIG SMART Goals or approved ESEA Flex Interventions. </w:t>
      </w:r>
      <w:r w:rsidR="00801911">
        <w:rPr>
          <w:rFonts w:asciiTheme="minorHAnsi" w:hAnsiTheme="minorHAnsi"/>
          <w:bCs/>
          <w:sz w:val="22"/>
          <w:szCs w:val="28"/>
        </w:rPr>
        <w:t xml:space="preserve">After completing </w:t>
      </w:r>
      <w:r w:rsidR="00801911">
        <w:rPr>
          <w:rFonts w:asciiTheme="minorHAnsi" w:hAnsiTheme="minorHAnsi"/>
          <w:b/>
          <w:bCs/>
          <w:sz w:val="22"/>
          <w:szCs w:val="28"/>
        </w:rPr>
        <w:t xml:space="preserve">Part Two </w:t>
      </w:r>
      <w:r w:rsidR="00801911">
        <w:rPr>
          <w:rFonts w:asciiTheme="minorHAnsi" w:hAnsiTheme="minorHAnsi"/>
          <w:bCs/>
          <w:sz w:val="22"/>
          <w:szCs w:val="28"/>
        </w:rPr>
        <w:t xml:space="preserve">and reflecting on your progress for each Goal or Flex Intervention, </w:t>
      </w:r>
      <w:r>
        <w:rPr>
          <w:rFonts w:asciiTheme="minorHAnsi" w:hAnsiTheme="minorHAnsi"/>
          <w:bCs/>
          <w:sz w:val="22"/>
          <w:szCs w:val="28"/>
        </w:rPr>
        <w:t>rate your</w:t>
      </w:r>
      <w:r w:rsidR="00801911">
        <w:rPr>
          <w:rFonts w:asciiTheme="minorHAnsi" w:hAnsiTheme="minorHAnsi"/>
          <w:bCs/>
          <w:sz w:val="22"/>
          <w:szCs w:val="28"/>
        </w:rPr>
        <w:t xml:space="preserve"> school</w:t>
      </w:r>
      <w:r>
        <w:rPr>
          <w:rFonts w:asciiTheme="minorHAnsi" w:hAnsiTheme="minorHAnsi"/>
          <w:bCs/>
          <w:sz w:val="22"/>
          <w:szCs w:val="28"/>
        </w:rPr>
        <w:t xml:space="preserve"> red, </w:t>
      </w:r>
      <w:r w:rsidR="0049127A">
        <w:rPr>
          <w:rFonts w:asciiTheme="minorHAnsi" w:hAnsiTheme="minorHAnsi"/>
          <w:bCs/>
          <w:sz w:val="22"/>
          <w:szCs w:val="28"/>
        </w:rPr>
        <w:t xml:space="preserve">orange, </w:t>
      </w:r>
      <w:r>
        <w:rPr>
          <w:rFonts w:asciiTheme="minorHAnsi" w:hAnsiTheme="minorHAnsi"/>
          <w:bCs/>
          <w:sz w:val="22"/>
          <w:szCs w:val="28"/>
        </w:rPr>
        <w:t xml:space="preserve">yellow, or green. </w:t>
      </w:r>
      <w:r w:rsidR="00133055">
        <w:rPr>
          <w:rFonts w:asciiTheme="minorHAnsi" w:hAnsiTheme="minorHAnsi"/>
          <w:bCs/>
          <w:sz w:val="22"/>
          <w:szCs w:val="28"/>
        </w:rPr>
        <w:t>If you have fewer than 4</w:t>
      </w:r>
      <w:r w:rsidR="0049127A">
        <w:rPr>
          <w:rFonts w:asciiTheme="minorHAnsi" w:hAnsiTheme="minorHAnsi"/>
          <w:bCs/>
          <w:sz w:val="22"/>
          <w:szCs w:val="28"/>
        </w:rPr>
        <w:t xml:space="preserve"> approved Interventions or Goals, delete unused rows.</w:t>
      </w:r>
    </w:p>
    <w:p w:rsidR="0049127A" w:rsidRDefault="00625B92" w:rsidP="00AB51C4">
      <w:pPr>
        <w:pStyle w:val="NormalWeb"/>
        <w:spacing w:before="0" w:beforeAutospacing="0" w:after="120" w:afterAutospacing="0" w:line="252" w:lineRule="auto"/>
        <w:ind w:left="720"/>
        <w:contextualSpacing/>
        <w:rPr>
          <w:rFonts w:asciiTheme="minorHAnsi" w:hAnsiTheme="minorHAnsi"/>
          <w:bCs/>
          <w:i/>
          <w:sz w:val="22"/>
          <w:szCs w:val="28"/>
        </w:rPr>
      </w:pPr>
      <w:r w:rsidRPr="006568A6">
        <w:rPr>
          <w:rFonts w:asciiTheme="minorHAnsi" w:hAnsiTheme="minorHAnsi"/>
          <w:b/>
          <w:bCs/>
          <w:i/>
          <w:color w:val="FF0000"/>
          <w:sz w:val="22"/>
          <w:szCs w:val="28"/>
        </w:rPr>
        <w:t>Red</w:t>
      </w:r>
      <w:r w:rsidR="00983A0E">
        <w:rPr>
          <w:rFonts w:asciiTheme="minorHAnsi" w:hAnsiTheme="minorHAnsi"/>
          <w:bCs/>
          <w:i/>
          <w:sz w:val="22"/>
          <w:szCs w:val="28"/>
        </w:rPr>
        <w:t xml:space="preserve"> =N</w:t>
      </w:r>
      <w:r>
        <w:rPr>
          <w:rFonts w:asciiTheme="minorHAnsi" w:hAnsiTheme="minorHAnsi"/>
          <w:bCs/>
          <w:i/>
          <w:sz w:val="22"/>
          <w:szCs w:val="28"/>
        </w:rPr>
        <w:t>o progress/major challenges,</w:t>
      </w:r>
      <w:r w:rsidR="00983A0E">
        <w:rPr>
          <w:rFonts w:asciiTheme="minorHAnsi" w:hAnsiTheme="minorHAnsi"/>
          <w:bCs/>
          <w:i/>
          <w:sz w:val="22"/>
          <w:szCs w:val="28"/>
        </w:rPr>
        <w:t xml:space="preserve"> requires urgent attention. For Infrastructure, b</w:t>
      </w:r>
      <w:r w:rsidR="00983A0E" w:rsidRPr="00983A0E">
        <w:rPr>
          <w:rFonts w:asciiTheme="minorHAnsi" w:hAnsiTheme="minorHAnsi"/>
          <w:bCs/>
          <w:i/>
          <w:sz w:val="22"/>
          <w:szCs w:val="28"/>
        </w:rPr>
        <w:t>arriers at the district or state level impede m</w:t>
      </w:r>
      <w:r w:rsidR="00983A0E">
        <w:rPr>
          <w:rFonts w:asciiTheme="minorHAnsi" w:hAnsiTheme="minorHAnsi"/>
          <w:bCs/>
          <w:i/>
          <w:sz w:val="22"/>
          <w:szCs w:val="28"/>
        </w:rPr>
        <w:t>ajor elements of implementation</w:t>
      </w:r>
      <w:r w:rsidR="00983A0E" w:rsidRPr="00983A0E">
        <w:rPr>
          <w:rFonts w:asciiTheme="minorHAnsi" w:hAnsiTheme="minorHAnsi"/>
          <w:bCs/>
          <w:i/>
          <w:sz w:val="22"/>
          <w:szCs w:val="28"/>
        </w:rPr>
        <w:t xml:space="preserve"> and there are no current plans to address them.</w:t>
      </w:r>
    </w:p>
    <w:p w:rsidR="00AB51C4" w:rsidRPr="00AB51C4" w:rsidRDefault="00AB51C4" w:rsidP="00AB51C4">
      <w:pPr>
        <w:pStyle w:val="NormalWeb"/>
        <w:spacing w:before="0" w:beforeAutospacing="0" w:after="0" w:afterAutospacing="0" w:line="252" w:lineRule="auto"/>
        <w:ind w:left="720"/>
        <w:contextualSpacing/>
        <w:rPr>
          <w:rFonts w:asciiTheme="minorHAnsi" w:hAnsiTheme="minorHAnsi"/>
          <w:bCs/>
          <w:i/>
          <w:sz w:val="8"/>
          <w:szCs w:val="28"/>
        </w:rPr>
      </w:pPr>
    </w:p>
    <w:p w:rsidR="0049127A" w:rsidRDefault="0049127A" w:rsidP="0049127A">
      <w:pPr>
        <w:pStyle w:val="NormalWeb"/>
        <w:spacing w:before="0" w:beforeAutospacing="0" w:after="0" w:afterAutospacing="0" w:line="252" w:lineRule="auto"/>
        <w:ind w:left="720"/>
        <w:contextualSpacing/>
        <w:rPr>
          <w:rFonts w:asciiTheme="minorHAnsi" w:hAnsiTheme="minorHAnsi"/>
          <w:bCs/>
          <w:i/>
          <w:sz w:val="22"/>
          <w:szCs w:val="28"/>
        </w:rPr>
      </w:pPr>
      <w:r w:rsidRPr="006568A6">
        <w:rPr>
          <w:rFonts w:asciiTheme="minorHAnsi" w:hAnsiTheme="minorHAnsi"/>
          <w:b/>
          <w:bCs/>
          <w:i/>
          <w:color w:val="F79646" w:themeColor="accent6"/>
          <w:sz w:val="22"/>
          <w:szCs w:val="28"/>
        </w:rPr>
        <w:t>Orange</w:t>
      </w:r>
      <w:r w:rsidR="00983A0E">
        <w:rPr>
          <w:rFonts w:asciiTheme="minorHAnsi" w:hAnsiTheme="minorHAnsi"/>
          <w:bCs/>
          <w:i/>
          <w:sz w:val="22"/>
          <w:szCs w:val="28"/>
        </w:rPr>
        <w:t>=N</w:t>
      </w:r>
      <w:r>
        <w:rPr>
          <w:rFonts w:asciiTheme="minorHAnsi" w:hAnsiTheme="minorHAnsi"/>
          <w:bCs/>
          <w:i/>
          <w:sz w:val="22"/>
          <w:szCs w:val="28"/>
        </w:rPr>
        <w:t>ot progressing as we would expect at this point in time, req</w:t>
      </w:r>
      <w:r w:rsidR="00983A0E">
        <w:rPr>
          <w:rFonts w:asciiTheme="minorHAnsi" w:hAnsiTheme="minorHAnsi"/>
          <w:bCs/>
          <w:i/>
          <w:sz w:val="22"/>
          <w:szCs w:val="28"/>
        </w:rPr>
        <w:t>uires attention and adjustment. For Infrastructure, barriers at the district or state level impede some elements of implementation and solutions are not yet identified.</w:t>
      </w:r>
      <w:bookmarkStart w:id="0" w:name="_GoBack"/>
      <w:bookmarkEnd w:id="0"/>
    </w:p>
    <w:p w:rsidR="00AB51C4" w:rsidRPr="00AB51C4" w:rsidRDefault="00AB51C4" w:rsidP="0049127A">
      <w:pPr>
        <w:pStyle w:val="NormalWeb"/>
        <w:spacing w:before="0" w:beforeAutospacing="0" w:after="0" w:afterAutospacing="0" w:line="252" w:lineRule="auto"/>
        <w:ind w:left="720"/>
        <w:contextualSpacing/>
        <w:rPr>
          <w:rFonts w:asciiTheme="minorHAnsi" w:hAnsiTheme="minorHAnsi"/>
          <w:bCs/>
          <w:i/>
          <w:sz w:val="8"/>
          <w:szCs w:val="28"/>
        </w:rPr>
      </w:pPr>
    </w:p>
    <w:p w:rsidR="0049127A" w:rsidRDefault="0049127A" w:rsidP="00AB51C4">
      <w:pPr>
        <w:pStyle w:val="NormalWeb"/>
        <w:spacing w:before="0" w:beforeAutospacing="0" w:after="0" w:afterAutospacing="0" w:line="252" w:lineRule="auto"/>
        <w:ind w:left="720"/>
        <w:contextualSpacing/>
        <w:rPr>
          <w:rFonts w:asciiTheme="minorHAnsi" w:hAnsiTheme="minorHAnsi"/>
          <w:bCs/>
          <w:i/>
          <w:sz w:val="22"/>
          <w:szCs w:val="28"/>
        </w:rPr>
      </w:pPr>
      <w:r w:rsidRPr="0049127A">
        <w:rPr>
          <w:rFonts w:asciiTheme="minorHAnsi" w:hAnsiTheme="minorHAnsi"/>
          <w:bCs/>
          <w:i/>
          <w:sz w:val="22"/>
          <w:szCs w:val="28"/>
          <w:highlight w:val="yellow"/>
        </w:rPr>
        <w:t>Yellow</w:t>
      </w:r>
      <w:r w:rsidR="00983A0E">
        <w:rPr>
          <w:rFonts w:asciiTheme="minorHAnsi" w:hAnsiTheme="minorHAnsi"/>
          <w:bCs/>
          <w:i/>
          <w:sz w:val="22"/>
          <w:szCs w:val="28"/>
        </w:rPr>
        <w:t>= P</w:t>
      </w:r>
      <w:r>
        <w:rPr>
          <w:rFonts w:asciiTheme="minorHAnsi" w:hAnsiTheme="minorHAnsi"/>
          <w:bCs/>
          <w:i/>
          <w:sz w:val="22"/>
          <w:szCs w:val="28"/>
        </w:rPr>
        <w:t>rog</w:t>
      </w:r>
      <w:r w:rsidR="00983A0E">
        <w:rPr>
          <w:rFonts w:asciiTheme="minorHAnsi" w:hAnsiTheme="minorHAnsi"/>
          <w:bCs/>
          <w:i/>
          <w:sz w:val="22"/>
          <w:szCs w:val="28"/>
        </w:rPr>
        <w:t>ressing, may need minor tweaks. For Infrastructure, some barriers exist at the district or state level and solutions have been identified.</w:t>
      </w:r>
    </w:p>
    <w:p w:rsidR="00AB51C4" w:rsidRPr="00AB51C4" w:rsidRDefault="00AB51C4" w:rsidP="00AB51C4">
      <w:pPr>
        <w:pStyle w:val="NormalWeb"/>
        <w:spacing w:before="0" w:beforeAutospacing="0" w:after="0" w:afterAutospacing="0" w:line="252" w:lineRule="auto"/>
        <w:ind w:left="720"/>
        <w:contextualSpacing/>
        <w:rPr>
          <w:rFonts w:asciiTheme="minorHAnsi" w:hAnsiTheme="minorHAnsi"/>
          <w:bCs/>
          <w:i/>
          <w:sz w:val="8"/>
          <w:szCs w:val="28"/>
        </w:rPr>
      </w:pPr>
    </w:p>
    <w:p w:rsidR="00625B92" w:rsidRPr="00B811D4" w:rsidRDefault="0049127A" w:rsidP="0049127A">
      <w:pPr>
        <w:pStyle w:val="NormalWeb"/>
        <w:spacing w:before="0" w:beforeAutospacing="0" w:after="0" w:afterAutospacing="0" w:line="252" w:lineRule="auto"/>
        <w:ind w:left="720"/>
        <w:contextualSpacing/>
        <w:rPr>
          <w:rFonts w:asciiTheme="minorHAnsi" w:hAnsiTheme="minorHAnsi"/>
          <w:bCs/>
          <w:sz w:val="22"/>
          <w:szCs w:val="28"/>
        </w:rPr>
      </w:pPr>
      <w:r w:rsidRPr="006568A6">
        <w:rPr>
          <w:rFonts w:asciiTheme="minorHAnsi" w:hAnsiTheme="minorHAnsi"/>
          <w:b/>
          <w:bCs/>
          <w:i/>
          <w:color w:val="00B050"/>
          <w:sz w:val="22"/>
          <w:szCs w:val="28"/>
        </w:rPr>
        <w:t>Green</w:t>
      </w:r>
      <w:r w:rsidR="00983A0E">
        <w:rPr>
          <w:rFonts w:asciiTheme="minorHAnsi" w:hAnsiTheme="minorHAnsi"/>
          <w:bCs/>
          <w:i/>
          <w:sz w:val="22"/>
          <w:szCs w:val="28"/>
        </w:rPr>
        <w:t>=</w:t>
      </w:r>
      <w:r w:rsidR="00AB51C4">
        <w:rPr>
          <w:rFonts w:asciiTheme="minorHAnsi" w:hAnsiTheme="minorHAnsi"/>
          <w:bCs/>
          <w:i/>
          <w:sz w:val="22"/>
          <w:szCs w:val="28"/>
        </w:rPr>
        <w:t xml:space="preserve"> </w:t>
      </w:r>
      <w:proofErr w:type="gramStart"/>
      <w:r w:rsidR="00983A0E">
        <w:rPr>
          <w:rFonts w:asciiTheme="minorHAnsi" w:hAnsiTheme="minorHAnsi"/>
          <w:bCs/>
          <w:i/>
          <w:sz w:val="22"/>
          <w:szCs w:val="28"/>
        </w:rPr>
        <w:t>O</w:t>
      </w:r>
      <w:r>
        <w:rPr>
          <w:rFonts w:asciiTheme="minorHAnsi" w:hAnsiTheme="minorHAnsi"/>
          <w:bCs/>
          <w:i/>
          <w:sz w:val="22"/>
          <w:szCs w:val="28"/>
        </w:rPr>
        <w:t>n</w:t>
      </w:r>
      <w:proofErr w:type="gramEnd"/>
      <w:r>
        <w:rPr>
          <w:rFonts w:asciiTheme="minorHAnsi" w:hAnsiTheme="minorHAnsi"/>
          <w:bCs/>
          <w:i/>
          <w:sz w:val="22"/>
          <w:szCs w:val="28"/>
        </w:rPr>
        <w:t xml:space="preserve"> track, having t</w:t>
      </w:r>
      <w:r w:rsidR="00983A0E">
        <w:rPr>
          <w:rFonts w:asciiTheme="minorHAnsi" w:hAnsiTheme="minorHAnsi"/>
          <w:bCs/>
          <w:i/>
          <w:sz w:val="22"/>
          <w:szCs w:val="28"/>
        </w:rPr>
        <w:t>he impact we hoped, a highlight. For Infrastructure, n</w:t>
      </w:r>
      <w:r w:rsidR="00983A0E" w:rsidRPr="00983A0E">
        <w:rPr>
          <w:rFonts w:asciiTheme="minorHAnsi" w:hAnsiTheme="minorHAnsi"/>
          <w:bCs/>
          <w:i/>
          <w:sz w:val="22"/>
          <w:szCs w:val="28"/>
        </w:rPr>
        <w:t>o barriers at the district or state level impede implementation, or the district and</w:t>
      </w:r>
      <w:r w:rsidR="00983A0E">
        <w:rPr>
          <w:rFonts w:asciiTheme="minorHAnsi" w:hAnsiTheme="minorHAnsi"/>
          <w:bCs/>
          <w:i/>
          <w:sz w:val="22"/>
          <w:szCs w:val="28"/>
        </w:rPr>
        <w:t>/or</w:t>
      </w:r>
      <w:r w:rsidR="00983A0E" w:rsidRPr="00983A0E">
        <w:rPr>
          <w:rFonts w:asciiTheme="minorHAnsi" w:hAnsiTheme="minorHAnsi"/>
          <w:bCs/>
          <w:i/>
          <w:sz w:val="22"/>
          <w:szCs w:val="28"/>
        </w:rPr>
        <w:t xml:space="preserve"> RIDE are actively working to address them on a short timeline.</w:t>
      </w:r>
    </w:p>
    <w:p w:rsidR="00625B92" w:rsidRDefault="00625B92" w:rsidP="00625B92">
      <w:pPr>
        <w:pStyle w:val="NormalWeb"/>
        <w:spacing w:before="0" w:beforeAutospacing="0" w:after="0" w:afterAutospacing="0" w:line="252" w:lineRule="auto"/>
        <w:contextualSpacing/>
        <w:rPr>
          <w:rFonts w:ascii="Cambria" w:hAnsi="Cambria"/>
          <w:b/>
          <w:bCs/>
          <w:sz w:val="22"/>
          <w:szCs w:val="2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617"/>
        <w:gridCol w:w="2497"/>
        <w:gridCol w:w="2201"/>
        <w:gridCol w:w="2201"/>
      </w:tblGrid>
      <w:tr w:rsidR="00311D5C" w:rsidTr="00311D5C">
        <w:trPr>
          <w:trHeight w:val="272"/>
        </w:trPr>
        <w:tc>
          <w:tcPr>
            <w:tcW w:w="2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11D5C" w:rsidRDefault="004329CD" w:rsidP="004329CD">
            <w:r>
              <w:rPr>
                <w:b/>
              </w:rPr>
              <w:t>SIP</w:t>
            </w:r>
            <w:r w:rsidR="00133055">
              <w:rPr>
                <w:b/>
              </w:rPr>
              <w:t>/SIG</w:t>
            </w:r>
            <w:r w:rsidR="00311D5C">
              <w:rPr>
                <w:b/>
              </w:rPr>
              <w:t xml:space="preserve"> Goals </w:t>
            </w:r>
            <w:r>
              <w:rPr>
                <w:b/>
              </w:rPr>
              <w:t xml:space="preserve">(with </w:t>
            </w:r>
            <w:r w:rsidR="00311D5C">
              <w:rPr>
                <w:b/>
              </w:rPr>
              <w:t xml:space="preserve">ESEA Flex Interventions </w:t>
            </w:r>
            <w:r>
              <w:rPr>
                <w:b/>
              </w:rPr>
              <w:t>if applicable)</w:t>
            </w:r>
          </w:p>
        </w:tc>
        <w:tc>
          <w:tcPr>
            <w:tcW w:w="2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11D5C" w:rsidRDefault="00311D5C">
            <w:pPr>
              <w:rPr>
                <w:rFonts w:cstheme="minorBidi"/>
                <w:b/>
              </w:rPr>
            </w:pPr>
            <w:r>
              <w:rPr>
                <w:b/>
              </w:rPr>
              <w:t>Self-Assessment (R/O/Y/G)</w:t>
            </w:r>
          </w:p>
          <w:p w:rsidR="00311D5C" w:rsidRDefault="00311D5C" w:rsidP="00311D5C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Color each box (red, orange, yellow, or green) to assess implementation quality/status. </w:t>
            </w:r>
          </w:p>
        </w:tc>
      </w:tr>
      <w:tr w:rsidR="00311D5C" w:rsidTr="00311D5C">
        <w:trPr>
          <w:trHeight w:val="272"/>
        </w:trPr>
        <w:tc>
          <w:tcPr>
            <w:tcW w:w="2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5C" w:rsidRDefault="00311D5C"/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11D5C" w:rsidRDefault="00311D5C" w:rsidP="00311D5C">
            <w:pPr>
              <w:jc w:val="center"/>
              <w:rPr>
                <w:b/>
              </w:rPr>
            </w:pPr>
            <w:r>
              <w:rPr>
                <w:b/>
              </w:rPr>
              <w:t>Educator/Parent Practice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11D5C" w:rsidRDefault="00311D5C" w:rsidP="00311D5C">
            <w:pPr>
              <w:jc w:val="center"/>
              <w:rPr>
                <w:b/>
              </w:rPr>
            </w:pPr>
            <w:r>
              <w:rPr>
                <w:b/>
              </w:rPr>
              <w:t>Student Outcomes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11D5C" w:rsidRDefault="00311D5C" w:rsidP="00311D5C">
            <w:pPr>
              <w:jc w:val="center"/>
              <w:rPr>
                <w:b/>
              </w:rPr>
            </w:pPr>
            <w:r>
              <w:rPr>
                <w:b/>
              </w:rPr>
              <w:t>Infrastructure</w:t>
            </w:r>
          </w:p>
        </w:tc>
      </w:tr>
      <w:tr w:rsidR="00311D5C" w:rsidTr="00311D5C">
        <w:trPr>
          <w:trHeight w:val="43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5C" w:rsidRDefault="004329CD" w:rsidP="00625B92">
            <w:pPr>
              <w:pStyle w:val="ListParagraph"/>
              <w:numPr>
                <w:ilvl w:val="0"/>
                <w:numId w:val="2"/>
              </w:numPr>
            </w:pPr>
            <w:r>
              <w:t>[Goal]</w:t>
            </w:r>
          </w:p>
          <w:p w:rsidR="004329CD" w:rsidRDefault="004329CD" w:rsidP="00133055">
            <w:pPr>
              <w:pStyle w:val="ListParagraph"/>
              <w:numPr>
                <w:ilvl w:val="0"/>
                <w:numId w:val="5"/>
              </w:numPr>
            </w:pPr>
            <w:r>
              <w:t>[Supporting intervention]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D5C" w:rsidRDefault="00311D5C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D5C" w:rsidRDefault="00311D5C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D5C" w:rsidRDefault="00311D5C">
            <w:pPr>
              <w:jc w:val="center"/>
              <w:rPr>
                <w:color w:val="8064A2" w:themeColor="accent4"/>
              </w:rPr>
            </w:pPr>
          </w:p>
        </w:tc>
      </w:tr>
      <w:tr w:rsidR="00311D5C" w:rsidTr="00311D5C">
        <w:trPr>
          <w:trHeight w:val="43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55" w:rsidRDefault="00133055" w:rsidP="00133055">
            <w:pPr>
              <w:pStyle w:val="ListParagraph"/>
              <w:numPr>
                <w:ilvl w:val="0"/>
                <w:numId w:val="2"/>
              </w:numPr>
            </w:pPr>
            <w:r>
              <w:t>[Goal]</w:t>
            </w:r>
          </w:p>
          <w:p w:rsidR="00311D5C" w:rsidRDefault="00133055" w:rsidP="00133055">
            <w:pPr>
              <w:pStyle w:val="ListParagraph"/>
              <w:numPr>
                <w:ilvl w:val="0"/>
                <w:numId w:val="5"/>
              </w:numPr>
            </w:pPr>
            <w:r>
              <w:t>[Supporting intervention]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D5C" w:rsidRDefault="00311D5C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D5C" w:rsidRDefault="00311D5C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D5C" w:rsidRDefault="00311D5C">
            <w:pPr>
              <w:jc w:val="center"/>
              <w:rPr>
                <w:color w:val="8064A2" w:themeColor="accent4"/>
              </w:rPr>
            </w:pPr>
          </w:p>
        </w:tc>
      </w:tr>
      <w:tr w:rsidR="00311D5C" w:rsidTr="00311D5C">
        <w:trPr>
          <w:trHeight w:val="43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55" w:rsidRDefault="00133055" w:rsidP="00133055">
            <w:pPr>
              <w:pStyle w:val="ListParagraph"/>
              <w:numPr>
                <w:ilvl w:val="0"/>
                <w:numId w:val="2"/>
              </w:numPr>
            </w:pPr>
            <w:r>
              <w:t>[Goal]</w:t>
            </w:r>
          </w:p>
          <w:p w:rsidR="00311D5C" w:rsidRDefault="00133055" w:rsidP="00133055">
            <w:pPr>
              <w:pStyle w:val="ListParagraph"/>
              <w:numPr>
                <w:ilvl w:val="0"/>
                <w:numId w:val="5"/>
              </w:numPr>
            </w:pPr>
            <w:r>
              <w:t>[Supporting intervention]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D5C" w:rsidRDefault="00311D5C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D5C" w:rsidRDefault="00311D5C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D5C" w:rsidRDefault="00311D5C">
            <w:pPr>
              <w:jc w:val="center"/>
              <w:rPr>
                <w:color w:val="8064A2" w:themeColor="accent4"/>
              </w:rPr>
            </w:pPr>
          </w:p>
        </w:tc>
      </w:tr>
      <w:tr w:rsidR="00311D5C" w:rsidTr="00311D5C">
        <w:trPr>
          <w:trHeight w:val="438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55" w:rsidRDefault="00133055" w:rsidP="00133055">
            <w:pPr>
              <w:pStyle w:val="ListParagraph"/>
              <w:numPr>
                <w:ilvl w:val="0"/>
                <w:numId w:val="2"/>
              </w:numPr>
            </w:pPr>
            <w:r>
              <w:t>[Goal]</w:t>
            </w:r>
          </w:p>
          <w:p w:rsidR="00311D5C" w:rsidRDefault="00133055" w:rsidP="00133055">
            <w:pPr>
              <w:pStyle w:val="ListParagraph"/>
              <w:numPr>
                <w:ilvl w:val="0"/>
                <w:numId w:val="5"/>
              </w:numPr>
            </w:pPr>
            <w:r>
              <w:t>[Supporting intervention]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D5C" w:rsidRDefault="00311D5C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D5C" w:rsidRDefault="00311D5C">
            <w:pPr>
              <w:jc w:val="center"/>
              <w:rPr>
                <w:color w:val="8064A2" w:themeColor="accent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1D5C" w:rsidRDefault="00311D5C">
            <w:pPr>
              <w:jc w:val="center"/>
              <w:rPr>
                <w:color w:val="8064A2" w:themeColor="accent4"/>
              </w:rPr>
            </w:pPr>
          </w:p>
        </w:tc>
      </w:tr>
    </w:tbl>
    <w:p w:rsidR="00983A0E" w:rsidRPr="00AB51C4" w:rsidRDefault="00983A0E" w:rsidP="00983A0E">
      <w:pPr>
        <w:spacing w:after="0"/>
        <w:rPr>
          <w:b/>
          <w:sz w:val="20"/>
          <w:szCs w:val="28"/>
        </w:rPr>
      </w:pPr>
    </w:p>
    <w:p w:rsidR="00107301" w:rsidRPr="00107301" w:rsidRDefault="00951D9F" w:rsidP="00107301">
      <w:pPr>
        <w:rPr>
          <w:b/>
          <w:sz w:val="28"/>
          <w:szCs w:val="28"/>
        </w:rPr>
      </w:pPr>
      <w:r w:rsidRPr="00951D9F">
        <w:rPr>
          <w:b/>
          <w:sz w:val="28"/>
          <w:szCs w:val="28"/>
        </w:rPr>
        <w:t>Part Two: Assess Current Status</w:t>
      </w:r>
    </w:p>
    <w:p w:rsidR="004329CD" w:rsidRDefault="00625B92">
      <w:r>
        <w:rPr>
          <w:b/>
        </w:rPr>
        <w:t>Part Two Directions:</w:t>
      </w:r>
      <w:r w:rsidR="006568A6">
        <w:t xml:space="preserve"> Use the most recent r</w:t>
      </w:r>
      <w:r>
        <w:t xml:space="preserve">eport you submitted as the basis of the following section. For each </w:t>
      </w:r>
      <w:r w:rsidR="00133055">
        <w:t>goal</w:t>
      </w:r>
      <w:r>
        <w:t>,</w:t>
      </w:r>
      <w:r w:rsidR="00133055">
        <w:t xml:space="preserve"> complete the template below. R</w:t>
      </w:r>
      <w:r>
        <w:t>eview the data you have collected and analyzed. Update the Learnings section, make revisions to the Data Plan as needed, and attach relevant data.</w:t>
      </w:r>
      <w:r w:rsidR="00B811D4">
        <w:t xml:space="preserve"> </w:t>
      </w:r>
      <w:r w:rsidR="00133055">
        <w:t xml:space="preserve">Ensure that if you have approved ESEA waiver Interventions you include data and analysis related to </w:t>
      </w:r>
      <w:r w:rsidR="00057A90">
        <w:t>their implementation and how they support your goals.</w:t>
      </w:r>
      <w:r w:rsidR="004329CD">
        <w:br w:type="page"/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10"/>
        <w:gridCol w:w="2310"/>
        <w:gridCol w:w="2310"/>
        <w:gridCol w:w="2310"/>
        <w:gridCol w:w="2310"/>
        <w:gridCol w:w="2310"/>
      </w:tblGrid>
      <w:tr w:rsidR="00701209" w:rsidRPr="000A7E18" w:rsidTr="00133055"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4329CD" w:rsidRPr="00FF774C" w:rsidRDefault="00801911" w:rsidP="004329CD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color w:val="C00000"/>
                <w:sz w:val="22"/>
                <w:szCs w:val="28"/>
              </w:rPr>
            </w:pPr>
            <w:r>
              <w:br w:type="page"/>
            </w:r>
            <w:r w:rsidR="004329CD">
              <w:rPr>
                <w:rFonts w:ascii="Calibri" w:hAnsi="Calibri"/>
                <w:b/>
                <w:bCs/>
                <w:sz w:val="22"/>
                <w:szCs w:val="28"/>
              </w:rPr>
              <w:t>SIP</w:t>
            </w:r>
            <w:r w:rsidR="00133055">
              <w:rPr>
                <w:rFonts w:ascii="Calibri" w:hAnsi="Calibri"/>
                <w:b/>
                <w:bCs/>
                <w:sz w:val="22"/>
                <w:szCs w:val="28"/>
              </w:rPr>
              <w:t>/SIG</w:t>
            </w:r>
            <w:r w:rsidR="004329CD">
              <w:rPr>
                <w:rFonts w:ascii="Calibri" w:hAnsi="Calibri"/>
                <w:b/>
                <w:bCs/>
                <w:sz w:val="22"/>
                <w:szCs w:val="28"/>
              </w:rPr>
              <w:t xml:space="preserve"> Goal </w:t>
            </w:r>
            <w:r w:rsidR="004329CD" w:rsidRPr="00FF774C">
              <w:rPr>
                <w:rFonts w:ascii="Calibri" w:hAnsi="Calibri"/>
                <w:b/>
                <w:bCs/>
                <w:color w:val="C00000"/>
                <w:sz w:val="22"/>
                <w:szCs w:val="28"/>
              </w:rPr>
              <w:t>THIS MUST REMAIN THE SAME FROM QUARTER TO QUARTER</w:t>
            </w:r>
            <w:r w:rsidR="004329CD">
              <w:rPr>
                <w:rFonts w:ascii="Calibri" w:hAnsi="Calibri"/>
                <w:b/>
                <w:bCs/>
                <w:color w:val="C00000"/>
                <w:sz w:val="22"/>
                <w:szCs w:val="28"/>
              </w:rPr>
              <w:t>.</w:t>
            </w:r>
          </w:p>
          <w:p w:rsidR="00701209" w:rsidRPr="002109EA" w:rsidRDefault="00701209" w:rsidP="004329CD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sz w:val="22"/>
                <w:szCs w:val="28"/>
              </w:rPr>
            </w:pPr>
          </w:p>
        </w:tc>
      </w:tr>
      <w:tr w:rsidR="00701209" w:rsidRPr="000A7E18" w:rsidTr="00133055"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209" w:rsidRDefault="00701209" w:rsidP="00F876A6">
            <w:pPr>
              <w:pStyle w:val="NormalWeb"/>
              <w:tabs>
                <w:tab w:val="left" w:pos="1215"/>
              </w:tabs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  <w:p w:rsidR="002B3F57" w:rsidRPr="006E20CD" w:rsidRDefault="002B3F57" w:rsidP="00701209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</w:tr>
      <w:tr w:rsidR="00701209" w:rsidRPr="000A7E18" w:rsidTr="00133055"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01209" w:rsidRPr="004329CD" w:rsidRDefault="004329CD" w:rsidP="004329CD">
            <w:r>
              <w:rPr>
                <w:b/>
                <w:bCs/>
                <w:szCs w:val="28"/>
              </w:rPr>
              <w:t xml:space="preserve">Supporting </w:t>
            </w:r>
            <w:r>
              <w:rPr>
                <w:b/>
                <w:bCs/>
                <w:szCs w:val="28"/>
              </w:rPr>
              <w:t xml:space="preserve">ESEA Waiver Intervention or Interventions (if applicable) </w:t>
            </w:r>
            <w:r w:rsidRPr="00FF774C">
              <w:rPr>
                <w:b/>
                <w:bCs/>
                <w:color w:val="C00000"/>
                <w:szCs w:val="28"/>
              </w:rPr>
              <w:t>THIS MUST REMAIN THE SAME FROM QUARTER TO QUARTER</w:t>
            </w:r>
          </w:p>
        </w:tc>
      </w:tr>
      <w:tr w:rsidR="00701209" w:rsidRPr="000A7E18" w:rsidTr="00133055"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209" w:rsidRDefault="00701209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  <w:p w:rsidR="00C44CE3" w:rsidRPr="006E20CD" w:rsidRDefault="00C44CE3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</w:tr>
      <w:tr w:rsidR="00701209" w:rsidRPr="000A7E18" w:rsidTr="00133055">
        <w:tc>
          <w:tcPr>
            <w:tcW w:w="14400" w:type="dxa"/>
            <w:gridSpan w:val="7"/>
            <w:shd w:val="clear" w:color="auto" w:fill="BFBFBF"/>
          </w:tcPr>
          <w:p w:rsidR="00457881" w:rsidRPr="00906813" w:rsidRDefault="00457881" w:rsidP="00457881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color w:val="C00000"/>
                <w:sz w:val="22"/>
                <w:szCs w:val="28"/>
              </w:rPr>
            </w:pPr>
            <w:r>
              <w:rPr>
                <w:rFonts w:ascii="Calibri" w:hAnsi="Calibri"/>
                <w:b/>
                <w:bCs/>
                <w:sz w:val="22"/>
                <w:szCs w:val="28"/>
              </w:rPr>
              <w:t xml:space="preserve">Learnings from the most recent quarter (2-3 bullet points) </w:t>
            </w:r>
            <w:r w:rsidRPr="00625B92">
              <w:rPr>
                <w:rFonts w:ascii="Calibri" w:hAnsi="Calibri"/>
                <w:b/>
                <w:bCs/>
                <w:color w:val="C00000"/>
                <w:sz w:val="22"/>
                <w:szCs w:val="28"/>
              </w:rPr>
              <w:t>UPDATE EACH QUARTER.</w:t>
            </w:r>
            <w:r>
              <w:rPr>
                <w:rFonts w:ascii="Calibri" w:hAnsi="Calibri"/>
                <w:b/>
                <w:bCs/>
                <w:sz w:val="22"/>
                <w:szCs w:val="28"/>
              </w:rPr>
              <w:t xml:space="preserve"> </w:t>
            </w:r>
            <w:r w:rsidRPr="00906813">
              <w:rPr>
                <w:rFonts w:ascii="Calibri" w:hAnsi="Calibri"/>
                <w:b/>
                <w:bCs/>
                <w:color w:val="C00000"/>
                <w:sz w:val="22"/>
                <w:szCs w:val="28"/>
              </w:rPr>
              <w:t>ATTACH RELEVANT DATA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8"/>
              </w:rPr>
              <w:t>.</w:t>
            </w:r>
          </w:p>
          <w:p w:rsidR="00457881" w:rsidRPr="009077C2" w:rsidRDefault="00457881" w:rsidP="00B52267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2"/>
                <w:szCs w:val="28"/>
              </w:rPr>
            </w:pPr>
            <w:r w:rsidRPr="009077C2">
              <w:rPr>
                <w:rFonts w:ascii="Calibri" w:hAnsi="Calibri"/>
                <w:bCs/>
                <w:i/>
                <w:sz w:val="22"/>
                <w:szCs w:val="28"/>
              </w:rPr>
              <w:t>Include</w:t>
            </w:r>
            <w:r w:rsidR="00E85F4D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 xml:space="preserve"> </w:t>
            </w:r>
            <w:r w:rsidR="00E85F4D" w:rsidRPr="007533ED">
              <w:rPr>
                <w:rFonts w:ascii="Calibri" w:hAnsi="Calibri"/>
                <w:bCs/>
                <w:i/>
                <w:sz w:val="22"/>
                <w:szCs w:val="28"/>
              </w:rPr>
              <w:t>successes, internal challenges (not external barriers) and</w:t>
            </w:r>
            <w:r w:rsidR="00E85F4D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 xml:space="preserve"> </w:t>
            </w:r>
            <w:r w:rsidRPr="009077C2">
              <w:rPr>
                <w:rFonts w:ascii="Calibri" w:hAnsi="Calibri"/>
                <w:bCs/>
                <w:i/>
                <w:sz w:val="22"/>
                <w:szCs w:val="28"/>
              </w:rPr>
              <w:t>any key data points and plans to adjust strategies or prioritize different strategies.</w:t>
            </w:r>
            <w:r w:rsidR="00CE256A">
              <w:rPr>
                <w:rFonts w:ascii="Calibri" w:hAnsi="Calibri"/>
                <w:bCs/>
                <w:i/>
                <w:sz w:val="22"/>
                <w:szCs w:val="28"/>
              </w:rPr>
              <w:t xml:space="preserve"> </w:t>
            </w:r>
            <w:r w:rsidR="00CE256A" w:rsidRPr="00900A6F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>(see page</w:t>
            </w:r>
            <w:r w:rsidR="00E50BED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>s</w:t>
            </w:r>
            <w:r w:rsidR="00CE256A" w:rsidRPr="00900A6F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 xml:space="preserve"> </w:t>
            </w:r>
            <w:r w:rsidR="0039415A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>4-8</w:t>
            </w:r>
            <w:r w:rsidR="00CE256A" w:rsidRPr="00900A6F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 xml:space="preserve"> </w:t>
            </w:r>
            <w:r w:rsidR="00D91345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 xml:space="preserve">and </w:t>
            </w:r>
            <w:r w:rsidR="0094354F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>15-</w:t>
            </w:r>
            <w:r w:rsidR="0039415A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>17</w:t>
            </w:r>
            <w:r w:rsidR="00D91345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 xml:space="preserve"> </w:t>
            </w:r>
            <w:r w:rsidR="00CE256A" w:rsidRPr="00900A6F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 xml:space="preserve">in report guidance for </w:t>
            </w:r>
            <w:r w:rsidR="00900A6F" w:rsidRPr="00900A6F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>strong examples)</w:t>
            </w:r>
          </w:p>
        </w:tc>
      </w:tr>
      <w:tr w:rsidR="00701209" w:rsidRPr="000A7E18" w:rsidTr="00133055">
        <w:tc>
          <w:tcPr>
            <w:tcW w:w="14400" w:type="dxa"/>
            <w:gridSpan w:val="7"/>
            <w:shd w:val="clear" w:color="auto" w:fill="FFFFFF"/>
          </w:tcPr>
          <w:p w:rsidR="002B3F57" w:rsidRDefault="002B3F57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  <w:p w:rsidR="002B3F57" w:rsidRPr="006E20CD" w:rsidRDefault="002B3F57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</w:tr>
      <w:tr w:rsidR="00701209" w:rsidRPr="000A7E18" w:rsidTr="00133055">
        <w:tc>
          <w:tcPr>
            <w:tcW w:w="144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01209" w:rsidRPr="000A7E18" w:rsidRDefault="00701209" w:rsidP="004329CD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sz w:val="22"/>
                <w:szCs w:val="28"/>
              </w:rPr>
            </w:pPr>
            <w:r>
              <w:rPr>
                <w:rFonts w:ascii="Calibri" w:hAnsi="Calibri"/>
                <w:b/>
                <w:bCs/>
                <w:sz w:val="22"/>
                <w:szCs w:val="28"/>
              </w:rPr>
              <w:t>Data Plan</w:t>
            </w:r>
            <w:r w:rsidR="00906813">
              <w:rPr>
                <w:rFonts w:ascii="Calibri" w:hAnsi="Calibri"/>
                <w:b/>
                <w:bCs/>
                <w:sz w:val="22"/>
                <w:szCs w:val="28"/>
              </w:rPr>
              <w:t xml:space="preserve"> </w:t>
            </w:r>
            <w:r w:rsidR="00906813" w:rsidRPr="007533ED">
              <w:rPr>
                <w:rFonts w:ascii="Calibri" w:hAnsi="Calibri"/>
                <w:b/>
                <w:bCs/>
                <w:color w:val="C00000"/>
                <w:sz w:val="22"/>
                <w:szCs w:val="28"/>
              </w:rPr>
              <w:t xml:space="preserve">ATTACH DATA FROM THE MOST RECENT QUARTER </w:t>
            </w:r>
            <w:r w:rsidR="004329CD">
              <w:rPr>
                <w:rFonts w:ascii="Calibri" w:hAnsi="Calibri"/>
                <w:b/>
                <w:bCs/>
                <w:color w:val="C00000"/>
                <w:sz w:val="22"/>
                <w:szCs w:val="28"/>
              </w:rPr>
              <w:t>RELATED TO THE PLAN</w:t>
            </w:r>
            <w:r w:rsidR="00906813" w:rsidRPr="007533ED">
              <w:rPr>
                <w:rFonts w:ascii="Calibri" w:hAnsi="Calibri"/>
                <w:b/>
                <w:bCs/>
                <w:color w:val="C00000"/>
                <w:sz w:val="22"/>
                <w:szCs w:val="28"/>
              </w:rPr>
              <w:t xml:space="preserve"> BELOW. </w:t>
            </w:r>
            <w:r w:rsidR="00A00DB7" w:rsidRPr="007533ED">
              <w:rPr>
                <w:rFonts w:ascii="Calibri" w:hAnsi="Calibri"/>
                <w:b/>
                <w:bCs/>
                <w:color w:val="C00000"/>
                <w:sz w:val="22"/>
                <w:szCs w:val="28"/>
              </w:rPr>
              <w:t>MAKE REVISIONS TO THIS PLAN AS NEEDED.</w:t>
            </w:r>
            <w:r w:rsidR="007533ED">
              <w:rPr>
                <w:rFonts w:ascii="Calibri" w:hAnsi="Calibri"/>
                <w:b/>
                <w:bCs/>
                <w:color w:val="FF0000"/>
                <w:sz w:val="22"/>
                <w:szCs w:val="28"/>
              </w:rPr>
              <w:t xml:space="preserve"> </w:t>
            </w:r>
            <w:r w:rsidR="007533ED" w:rsidRPr="007533ED">
              <w:rPr>
                <w:rFonts w:ascii="Calibri" w:hAnsi="Calibri"/>
                <w:bCs/>
                <w:i/>
                <w:sz w:val="22"/>
                <w:szCs w:val="28"/>
              </w:rPr>
              <w:t>Data should be aggregated to show trends</w:t>
            </w:r>
            <w:r w:rsidR="00F07478">
              <w:rPr>
                <w:rFonts w:ascii="Calibri" w:hAnsi="Calibri"/>
                <w:bCs/>
                <w:i/>
                <w:sz w:val="22"/>
                <w:szCs w:val="28"/>
              </w:rPr>
              <w:t xml:space="preserve"> and intersection between educator/parent practice and student outcomes</w:t>
            </w:r>
            <w:r w:rsidR="007533ED" w:rsidRPr="007533ED">
              <w:rPr>
                <w:rFonts w:ascii="Calibri" w:hAnsi="Calibri"/>
                <w:bCs/>
                <w:i/>
                <w:sz w:val="22"/>
                <w:szCs w:val="28"/>
              </w:rPr>
              <w:t>.</w:t>
            </w:r>
            <w:r w:rsidR="007533ED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 xml:space="preserve"> (</w:t>
            </w:r>
            <w:r w:rsidR="007533ED" w:rsidRPr="00900A6F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 xml:space="preserve">see guidance </w:t>
            </w:r>
            <w:r w:rsidR="0075255C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>p</w:t>
            </w:r>
            <w:r w:rsidR="007533ED" w:rsidRPr="00900A6F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 xml:space="preserve"> </w:t>
            </w:r>
            <w:r w:rsidR="0039415A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>3-8</w:t>
            </w:r>
            <w:r w:rsidR="0094354F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>, 18-19</w:t>
            </w:r>
            <w:r w:rsidR="0075255C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 xml:space="preserve"> for </w:t>
            </w:r>
            <w:r w:rsidR="007533ED" w:rsidRPr="00900A6F">
              <w:rPr>
                <w:rFonts w:ascii="Calibri" w:hAnsi="Calibri"/>
                <w:bCs/>
                <w:i/>
                <w:color w:val="008000"/>
                <w:sz w:val="22"/>
                <w:szCs w:val="28"/>
              </w:rPr>
              <w:t>examples)</w:t>
            </w:r>
          </w:p>
        </w:tc>
      </w:tr>
      <w:tr w:rsidR="00133055" w:rsidRPr="000A7E18" w:rsidTr="00133055">
        <w:tc>
          <w:tcPr>
            <w:tcW w:w="540" w:type="dxa"/>
            <w:tcBorders>
              <w:top w:val="single" w:sz="4" w:space="0" w:color="auto"/>
            </w:tcBorders>
          </w:tcPr>
          <w:p w:rsidR="00133055" w:rsidRPr="004329CD" w:rsidRDefault="00133055" w:rsidP="00B64A5E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sz w:val="22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133055" w:rsidRPr="00133055" w:rsidRDefault="00133055" w:rsidP="00B64A5E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sz w:val="22"/>
                <w:szCs w:val="28"/>
              </w:rPr>
            </w:pPr>
            <w:r w:rsidRPr="00133055">
              <w:rPr>
                <w:rFonts w:ascii="Calibri" w:hAnsi="Calibri"/>
                <w:b/>
                <w:bCs/>
                <w:sz w:val="22"/>
                <w:szCs w:val="28"/>
              </w:rPr>
              <w:t>What is your strategy for achieving your SMART goal and closing the achievement gap?</w:t>
            </w:r>
          </w:p>
        </w:tc>
        <w:tc>
          <w:tcPr>
            <w:tcW w:w="2310" w:type="dxa"/>
            <w:shd w:val="clear" w:color="auto" w:fill="FFFFFF"/>
          </w:tcPr>
          <w:p w:rsidR="00133055" w:rsidRPr="00133055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sz w:val="22"/>
                <w:szCs w:val="28"/>
              </w:rPr>
            </w:pPr>
            <w:r w:rsidRPr="00133055">
              <w:rPr>
                <w:rFonts w:ascii="Calibri" w:hAnsi="Calibri"/>
                <w:b/>
                <w:bCs/>
                <w:sz w:val="22"/>
                <w:szCs w:val="28"/>
              </w:rPr>
              <w:t>What are your adult behavior targets?</w:t>
            </w:r>
          </w:p>
        </w:tc>
        <w:tc>
          <w:tcPr>
            <w:tcW w:w="2310" w:type="dxa"/>
            <w:shd w:val="clear" w:color="auto" w:fill="FFFFFF"/>
          </w:tcPr>
          <w:p w:rsidR="00133055" w:rsidRPr="00133055" w:rsidRDefault="00133055" w:rsidP="006E20CD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sz w:val="22"/>
                <w:szCs w:val="28"/>
              </w:rPr>
            </w:pPr>
            <w:r w:rsidRPr="00133055">
              <w:rPr>
                <w:rFonts w:ascii="Calibri" w:hAnsi="Calibri"/>
                <w:b/>
                <w:bCs/>
                <w:sz w:val="22"/>
                <w:szCs w:val="28"/>
              </w:rPr>
              <w:t>With what tool and how frequently will you monitor adult behavior?</w:t>
            </w:r>
          </w:p>
        </w:tc>
        <w:tc>
          <w:tcPr>
            <w:tcW w:w="2310" w:type="dxa"/>
            <w:shd w:val="clear" w:color="auto" w:fill="FFFFFF"/>
          </w:tcPr>
          <w:p w:rsidR="00133055" w:rsidRPr="00133055" w:rsidRDefault="00133055" w:rsidP="006E20CD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sz w:val="22"/>
                <w:szCs w:val="28"/>
              </w:rPr>
            </w:pPr>
            <w:r w:rsidRPr="00133055">
              <w:rPr>
                <w:rFonts w:ascii="Calibri" w:hAnsi="Calibri"/>
                <w:b/>
                <w:bCs/>
                <w:sz w:val="22"/>
                <w:szCs w:val="28"/>
              </w:rPr>
              <w:t>What are your student outcome targets?</w:t>
            </w:r>
          </w:p>
        </w:tc>
        <w:tc>
          <w:tcPr>
            <w:tcW w:w="2310" w:type="dxa"/>
            <w:shd w:val="clear" w:color="auto" w:fill="FFFFFF"/>
          </w:tcPr>
          <w:p w:rsidR="00133055" w:rsidRPr="00133055" w:rsidRDefault="00133055" w:rsidP="00133055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sz w:val="22"/>
                <w:szCs w:val="28"/>
              </w:rPr>
            </w:pPr>
            <w:r w:rsidRPr="00133055">
              <w:rPr>
                <w:rFonts w:ascii="Calibri" w:hAnsi="Calibri"/>
                <w:b/>
                <w:bCs/>
                <w:sz w:val="22"/>
                <w:szCs w:val="28"/>
              </w:rPr>
              <w:t xml:space="preserve">With what tool and how frequently will you monitor </w:t>
            </w:r>
            <w:r w:rsidRPr="00133055">
              <w:rPr>
                <w:rFonts w:ascii="Calibri" w:hAnsi="Calibri"/>
                <w:b/>
                <w:bCs/>
                <w:sz w:val="22"/>
                <w:szCs w:val="28"/>
              </w:rPr>
              <w:t>student outcomes</w:t>
            </w:r>
            <w:r w:rsidRPr="00133055">
              <w:rPr>
                <w:rFonts w:ascii="Calibri" w:hAnsi="Calibri"/>
                <w:b/>
                <w:bCs/>
                <w:sz w:val="22"/>
                <w:szCs w:val="28"/>
              </w:rPr>
              <w:t>?</w:t>
            </w:r>
          </w:p>
        </w:tc>
        <w:tc>
          <w:tcPr>
            <w:tcW w:w="2310" w:type="dxa"/>
            <w:shd w:val="clear" w:color="auto" w:fill="FFFFFF"/>
          </w:tcPr>
          <w:p w:rsidR="00133055" w:rsidRPr="00133055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sz w:val="22"/>
                <w:szCs w:val="28"/>
              </w:rPr>
            </w:pPr>
            <w:r w:rsidRPr="00133055">
              <w:rPr>
                <w:rFonts w:ascii="Calibri" w:hAnsi="Calibri"/>
                <w:b/>
                <w:bCs/>
                <w:sz w:val="22"/>
                <w:szCs w:val="28"/>
              </w:rPr>
              <w:t>If applicable, what is the Title I budget line item supporting the strategy?</w:t>
            </w:r>
          </w:p>
        </w:tc>
      </w:tr>
      <w:tr w:rsidR="00133055" w:rsidRPr="000A7E18" w:rsidTr="00133055">
        <w:tc>
          <w:tcPr>
            <w:tcW w:w="540" w:type="dxa"/>
          </w:tcPr>
          <w:p w:rsidR="00133055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2310" w:type="dxa"/>
          </w:tcPr>
          <w:p w:rsidR="00133055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i/>
                <w:sz w:val="22"/>
                <w:szCs w:val="28"/>
              </w:rPr>
            </w:pPr>
          </w:p>
          <w:p w:rsidR="00133055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i/>
                <w:sz w:val="22"/>
                <w:szCs w:val="28"/>
              </w:rPr>
            </w:pPr>
          </w:p>
          <w:p w:rsidR="00133055" w:rsidRPr="001E62EC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</w:tr>
      <w:tr w:rsidR="00133055" w:rsidRPr="000A7E18" w:rsidTr="00133055">
        <w:tc>
          <w:tcPr>
            <w:tcW w:w="540" w:type="dxa"/>
          </w:tcPr>
          <w:p w:rsidR="00133055" w:rsidRDefault="00133055" w:rsidP="002B3F57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2310" w:type="dxa"/>
          </w:tcPr>
          <w:p w:rsidR="00133055" w:rsidRDefault="00133055" w:rsidP="002B3F57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i/>
                <w:sz w:val="22"/>
                <w:szCs w:val="28"/>
              </w:rPr>
            </w:pPr>
          </w:p>
          <w:p w:rsidR="00133055" w:rsidRDefault="00133055" w:rsidP="002B3F57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i/>
                <w:sz w:val="22"/>
                <w:szCs w:val="28"/>
              </w:rPr>
            </w:pPr>
          </w:p>
          <w:p w:rsidR="00133055" w:rsidRPr="001E62EC" w:rsidRDefault="00133055" w:rsidP="002B3F57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</w:tr>
      <w:tr w:rsidR="00133055" w:rsidRPr="000A7E18" w:rsidTr="00133055">
        <w:tc>
          <w:tcPr>
            <w:tcW w:w="540" w:type="dxa"/>
          </w:tcPr>
          <w:p w:rsidR="00133055" w:rsidRDefault="00133055" w:rsidP="002B3F57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2310" w:type="dxa"/>
          </w:tcPr>
          <w:p w:rsidR="00133055" w:rsidRDefault="00133055" w:rsidP="002B3F57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i/>
                <w:sz w:val="22"/>
                <w:szCs w:val="28"/>
              </w:rPr>
            </w:pPr>
          </w:p>
          <w:p w:rsidR="00133055" w:rsidRDefault="00133055" w:rsidP="002B3F57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i/>
                <w:sz w:val="22"/>
                <w:szCs w:val="28"/>
              </w:rPr>
            </w:pPr>
          </w:p>
          <w:p w:rsidR="00133055" w:rsidRDefault="00133055" w:rsidP="002B3F57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</w:tr>
      <w:tr w:rsidR="00133055" w:rsidRPr="000A7E18" w:rsidTr="00133055">
        <w:tc>
          <w:tcPr>
            <w:tcW w:w="540" w:type="dxa"/>
          </w:tcPr>
          <w:p w:rsidR="00133055" w:rsidRDefault="00133055" w:rsidP="002B3F57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2310" w:type="dxa"/>
          </w:tcPr>
          <w:p w:rsidR="00133055" w:rsidRDefault="00133055" w:rsidP="002B3F57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:rsidR="00133055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  <w:p w:rsidR="00133055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  <w:p w:rsidR="00133055" w:rsidRPr="009077C2" w:rsidRDefault="00133055" w:rsidP="00FE7F72">
            <w:pPr>
              <w:pStyle w:val="NormalWeb"/>
              <w:spacing w:before="0" w:beforeAutospacing="0" w:after="0" w:afterAutospacing="0" w:line="252" w:lineRule="auto"/>
              <w:contextualSpacing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</w:tr>
    </w:tbl>
    <w:p w:rsidR="00625B92" w:rsidRDefault="00625B92" w:rsidP="007533ED"/>
    <w:sectPr w:rsidR="00625B92" w:rsidSect="00701209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09" w:rsidRDefault="00701209" w:rsidP="00701209">
      <w:pPr>
        <w:spacing w:after="0" w:line="240" w:lineRule="auto"/>
      </w:pPr>
      <w:r>
        <w:separator/>
      </w:r>
    </w:p>
  </w:endnote>
  <w:endnote w:type="continuationSeparator" w:id="0">
    <w:p w:rsidR="00701209" w:rsidRDefault="00701209" w:rsidP="0070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420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20CD" w:rsidRDefault="003941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A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09" w:rsidRDefault="00701209" w:rsidP="00701209">
      <w:pPr>
        <w:spacing w:after="0" w:line="240" w:lineRule="auto"/>
      </w:pPr>
      <w:r>
        <w:separator/>
      </w:r>
    </w:p>
  </w:footnote>
  <w:footnote w:type="continuationSeparator" w:id="0">
    <w:p w:rsidR="00701209" w:rsidRDefault="00701209" w:rsidP="0070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8AA" w:rsidRDefault="00427B16" w:rsidP="00701209">
    <w:pPr>
      <w:pStyle w:val="Header"/>
      <w:jc w:val="center"/>
      <w:rPr>
        <w:sz w:val="52"/>
        <w:szCs w:val="52"/>
      </w:rPr>
    </w:pPr>
    <w:r>
      <w:rPr>
        <w:sz w:val="52"/>
        <w:szCs w:val="52"/>
      </w:rPr>
      <w:t xml:space="preserve">Section 2: </w:t>
    </w:r>
    <w:r w:rsidR="0049127A">
      <w:rPr>
        <w:sz w:val="52"/>
        <w:szCs w:val="52"/>
      </w:rPr>
      <w:t>2015-2016</w:t>
    </w:r>
    <w:r w:rsidR="00906813">
      <w:rPr>
        <w:sz w:val="52"/>
        <w:szCs w:val="52"/>
      </w:rPr>
      <w:t xml:space="preserve"> </w:t>
    </w:r>
    <w:r w:rsidR="00701209" w:rsidRPr="00701209">
      <w:rPr>
        <w:sz w:val="52"/>
        <w:szCs w:val="52"/>
      </w:rPr>
      <w:t>MONITORING REPORT</w:t>
    </w:r>
    <w:r w:rsidR="002B3F57">
      <w:rPr>
        <w:sz w:val="52"/>
        <w:szCs w:val="52"/>
      </w:rPr>
      <w:t xml:space="preserve"> </w:t>
    </w:r>
    <w:r w:rsidR="00910E8C">
      <w:rPr>
        <w:sz w:val="52"/>
        <w:szCs w:val="52"/>
      </w:rPr>
      <w:t>[SCHOOL NAME]</w:t>
    </w:r>
  </w:p>
  <w:p w:rsidR="006E20CD" w:rsidRPr="00983A0E" w:rsidRDefault="00605BBE" w:rsidP="00983A0E">
    <w:pPr>
      <w:pStyle w:val="Header"/>
      <w:spacing w:after="240"/>
      <w:jc w:val="center"/>
      <w:rPr>
        <w:i/>
        <w:color w:val="4F6228" w:themeColor="accent3" w:themeShade="80"/>
        <w:sz w:val="30"/>
        <w:szCs w:val="52"/>
      </w:rPr>
    </w:pPr>
    <w:r>
      <w:rPr>
        <w:i/>
        <w:color w:val="4F6228" w:themeColor="accent3" w:themeShade="80"/>
        <w:sz w:val="30"/>
        <w:szCs w:val="52"/>
      </w:rPr>
      <w:t>Important:</w:t>
    </w:r>
    <w:r w:rsidR="00D538AA" w:rsidRPr="007462FD">
      <w:rPr>
        <w:i/>
        <w:color w:val="4F6228" w:themeColor="accent3" w:themeShade="80"/>
        <w:sz w:val="30"/>
        <w:szCs w:val="52"/>
      </w:rPr>
      <w:t xml:space="preserve"> </w:t>
    </w:r>
    <w:r w:rsidR="00221CFF">
      <w:rPr>
        <w:i/>
        <w:color w:val="4F6228" w:themeColor="accent3" w:themeShade="80"/>
        <w:sz w:val="30"/>
        <w:szCs w:val="52"/>
      </w:rPr>
      <w:t>Review</w:t>
    </w:r>
    <w:r w:rsidR="00D538AA" w:rsidRPr="007462FD">
      <w:rPr>
        <w:i/>
        <w:color w:val="4F6228" w:themeColor="accent3" w:themeShade="80"/>
        <w:sz w:val="30"/>
        <w:szCs w:val="52"/>
      </w:rPr>
      <w:t xml:space="preserve"> </w:t>
    </w:r>
    <w:r w:rsidR="00F07478">
      <w:rPr>
        <w:i/>
        <w:color w:val="4F6228" w:themeColor="accent3" w:themeShade="80"/>
        <w:sz w:val="30"/>
        <w:szCs w:val="52"/>
      </w:rPr>
      <w:t xml:space="preserve">Report Guidance </w:t>
    </w:r>
    <w:r w:rsidR="00D538AA" w:rsidRPr="007462FD">
      <w:rPr>
        <w:i/>
        <w:color w:val="4F6228" w:themeColor="accent3" w:themeShade="80"/>
        <w:sz w:val="30"/>
        <w:szCs w:val="52"/>
      </w:rPr>
      <w:t>Before Filling Out This Form</w:t>
    </w:r>
    <w:r w:rsidR="00133055">
      <w:rPr>
        <w:i/>
        <w:color w:val="4F6228" w:themeColor="accent3" w:themeShade="80"/>
        <w:sz w:val="30"/>
        <w:szCs w:val="52"/>
      </w:rPr>
      <w:t xml:space="preserve"> </w:t>
    </w:r>
    <w:r w:rsidR="00133055" w:rsidRPr="00133055">
      <w:rPr>
        <w:i/>
        <w:color w:val="4F6228" w:themeColor="accent3" w:themeShade="80"/>
      </w:rPr>
      <w:t>available @ ride.ri.gov/transformation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407"/>
    <w:multiLevelType w:val="hybridMultilevel"/>
    <w:tmpl w:val="3AAC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B20EC"/>
    <w:multiLevelType w:val="hybridMultilevel"/>
    <w:tmpl w:val="085AE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74450C"/>
    <w:multiLevelType w:val="hybridMultilevel"/>
    <w:tmpl w:val="15CA4998"/>
    <w:lvl w:ilvl="0" w:tplc="9E3849D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3B3F85"/>
    <w:multiLevelType w:val="hybridMultilevel"/>
    <w:tmpl w:val="0BBC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09"/>
    <w:rsid w:val="00043036"/>
    <w:rsid w:val="00057A90"/>
    <w:rsid w:val="001059D4"/>
    <w:rsid w:val="00107301"/>
    <w:rsid w:val="00127E74"/>
    <w:rsid w:val="00133055"/>
    <w:rsid w:val="001531DC"/>
    <w:rsid w:val="0017606C"/>
    <w:rsid w:val="001A7372"/>
    <w:rsid w:val="001F7BE8"/>
    <w:rsid w:val="00214908"/>
    <w:rsid w:val="00221CFF"/>
    <w:rsid w:val="00260971"/>
    <w:rsid w:val="00275579"/>
    <w:rsid w:val="002B3F57"/>
    <w:rsid w:val="002D214E"/>
    <w:rsid w:val="00311D5C"/>
    <w:rsid w:val="00334619"/>
    <w:rsid w:val="0039415A"/>
    <w:rsid w:val="003A534D"/>
    <w:rsid w:val="003F02B3"/>
    <w:rsid w:val="003F3817"/>
    <w:rsid w:val="004033A1"/>
    <w:rsid w:val="00421853"/>
    <w:rsid w:val="00427B16"/>
    <w:rsid w:val="004329CD"/>
    <w:rsid w:val="0043626C"/>
    <w:rsid w:val="00437042"/>
    <w:rsid w:val="00457881"/>
    <w:rsid w:val="00464109"/>
    <w:rsid w:val="0049127A"/>
    <w:rsid w:val="0049422A"/>
    <w:rsid w:val="004D3FD2"/>
    <w:rsid w:val="005C054A"/>
    <w:rsid w:val="005C0A2A"/>
    <w:rsid w:val="005D7F7D"/>
    <w:rsid w:val="00602829"/>
    <w:rsid w:val="00605BBE"/>
    <w:rsid w:val="00625B92"/>
    <w:rsid w:val="00646F89"/>
    <w:rsid w:val="006568A6"/>
    <w:rsid w:val="00665584"/>
    <w:rsid w:val="006952D6"/>
    <w:rsid w:val="006E20CD"/>
    <w:rsid w:val="006F5149"/>
    <w:rsid w:val="00701209"/>
    <w:rsid w:val="00706A85"/>
    <w:rsid w:val="007462FD"/>
    <w:rsid w:val="0075255C"/>
    <w:rsid w:val="007533ED"/>
    <w:rsid w:val="007739A7"/>
    <w:rsid w:val="00792556"/>
    <w:rsid w:val="007E2296"/>
    <w:rsid w:val="0080043C"/>
    <w:rsid w:val="00801911"/>
    <w:rsid w:val="008210CD"/>
    <w:rsid w:val="00874F6E"/>
    <w:rsid w:val="00900A6F"/>
    <w:rsid w:val="00906813"/>
    <w:rsid w:val="00910E8C"/>
    <w:rsid w:val="00935F6B"/>
    <w:rsid w:val="0094354F"/>
    <w:rsid w:val="00944683"/>
    <w:rsid w:val="00951D9F"/>
    <w:rsid w:val="00954D4A"/>
    <w:rsid w:val="00983A0E"/>
    <w:rsid w:val="009961BD"/>
    <w:rsid w:val="009F559F"/>
    <w:rsid w:val="009F5F71"/>
    <w:rsid w:val="00A00DB7"/>
    <w:rsid w:val="00A37EB3"/>
    <w:rsid w:val="00A60F85"/>
    <w:rsid w:val="00A65066"/>
    <w:rsid w:val="00AA1CB7"/>
    <w:rsid w:val="00AB51C4"/>
    <w:rsid w:val="00AC72B8"/>
    <w:rsid w:val="00B07CE5"/>
    <w:rsid w:val="00B158E7"/>
    <w:rsid w:val="00B300E4"/>
    <w:rsid w:val="00B456B2"/>
    <w:rsid w:val="00B51DDD"/>
    <w:rsid w:val="00B52267"/>
    <w:rsid w:val="00B64A5E"/>
    <w:rsid w:val="00B811D4"/>
    <w:rsid w:val="00BB3084"/>
    <w:rsid w:val="00BE0A48"/>
    <w:rsid w:val="00C44CE3"/>
    <w:rsid w:val="00C740E8"/>
    <w:rsid w:val="00CA77FE"/>
    <w:rsid w:val="00CC0D60"/>
    <w:rsid w:val="00CC464C"/>
    <w:rsid w:val="00CD5495"/>
    <w:rsid w:val="00CE256A"/>
    <w:rsid w:val="00D538AA"/>
    <w:rsid w:val="00D75498"/>
    <w:rsid w:val="00D820F5"/>
    <w:rsid w:val="00D91345"/>
    <w:rsid w:val="00DB460C"/>
    <w:rsid w:val="00E50BED"/>
    <w:rsid w:val="00E85F4D"/>
    <w:rsid w:val="00E90190"/>
    <w:rsid w:val="00EA7E6F"/>
    <w:rsid w:val="00F07478"/>
    <w:rsid w:val="00F2564A"/>
    <w:rsid w:val="00F876A6"/>
    <w:rsid w:val="00FF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7E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21B1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01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20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1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2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25B9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2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E22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7E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21B1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01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20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1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2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25B9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2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E22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831E-8295-41E4-8DEA-4061B673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Sarah</dc:creator>
  <cp:lastModifiedBy>Anderson, Sarah</cp:lastModifiedBy>
  <cp:revision>4</cp:revision>
  <cp:lastPrinted>2015-07-23T15:45:00Z</cp:lastPrinted>
  <dcterms:created xsi:type="dcterms:W3CDTF">2015-07-23T15:38:00Z</dcterms:created>
  <dcterms:modified xsi:type="dcterms:W3CDTF">2015-07-23T19:32:00Z</dcterms:modified>
</cp:coreProperties>
</file>